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1" w:firstLineChars="50"/>
        <w:jc w:val="center"/>
        <w:rPr>
          <w:b/>
          <w:sz w:val="36"/>
          <w:szCs w:val="36"/>
        </w:rPr>
      </w:pPr>
      <w:bookmarkStart w:id="0" w:name="_GoBack"/>
      <w:bookmarkEnd w:id="0"/>
      <w:r>
        <w:rPr>
          <w:rFonts w:hint="eastAsia"/>
          <w:b/>
          <w:sz w:val="36"/>
          <w:szCs w:val="36"/>
        </w:rPr>
        <w:t>附件  二</w:t>
      </w:r>
      <w:r>
        <w:rPr>
          <w:rFonts w:ascii="宋体" w:hAnsi="宋体"/>
          <w:b/>
          <w:sz w:val="36"/>
          <w:szCs w:val="36"/>
        </w:rPr>
        <w:t>〇</w:t>
      </w:r>
      <w:r>
        <w:rPr>
          <w:rFonts w:hint="eastAsia"/>
          <w:b/>
          <w:sz w:val="36"/>
          <w:szCs w:val="36"/>
        </w:rPr>
        <w:t>二三年度青田县揭榜挂帅重点研发计划项目榜单</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59"/>
        <w:gridCol w:w="3402"/>
        <w:gridCol w:w="1276"/>
        <w:gridCol w:w="15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400" w:lineRule="exact"/>
              <w:jc w:val="center"/>
              <w:rPr>
                <w:rFonts w:ascii="宋体" w:hAnsi="宋体"/>
                <w:b/>
                <w:sz w:val="24"/>
              </w:rPr>
            </w:pPr>
            <w:r>
              <w:rPr>
                <w:rFonts w:hint="eastAsia" w:ascii="宋体" w:hAnsi="宋体"/>
                <w:b/>
                <w:sz w:val="24"/>
              </w:rPr>
              <w:t>序号</w:t>
            </w:r>
          </w:p>
        </w:tc>
        <w:tc>
          <w:tcPr>
            <w:tcW w:w="1559" w:type="dxa"/>
            <w:vAlign w:val="center"/>
          </w:tcPr>
          <w:p>
            <w:pPr>
              <w:spacing w:line="400" w:lineRule="exact"/>
              <w:jc w:val="center"/>
              <w:rPr>
                <w:rFonts w:ascii="宋体" w:hAnsi="宋体"/>
                <w:b/>
                <w:sz w:val="24"/>
              </w:rPr>
            </w:pPr>
            <w:r>
              <w:rPr>
                <w:rFonts w:hint="eastAsia" w:ascii="宋体" w:hAnsi="宋体"/>
                <w:b/>
                <w:sz w:val="24"/>
              </w:rPr>
              <w:t>所属产业链</w:t>
            </w:r>
          </w:p>
        </w:tc>
        <w:tc>
          <w:tcPr>
            <w:tcW w:w="3402" w:type="dxa"/>
            <w:vAlign w:val="center"/>
          </w:tcPr>
          <w:p>
            <w:pPr>
              <w:spacing w:line="400" w:lineRule="exact"/>
              <w:jc w:val="center"/>
              <w:rPr>
                <w:rFonts w:ascii="宋体" w:hAnsi="宋体"/>
                <w:b/>
                <w:sz w:val="24"/>
              </w:rPr>
            </w:pPr>
            <w:r>
              <w:rPr>
                <w:rFonts w:hint="eastAsia" w:ascii="宋体" w:hAnsi="宋体"/>
                <w:b/>
                <w:sz w:val="24"/>
              </w:rPr>
              <w:t>榜单名称</w:t>
            </w:r>
          </w:p>
        </w:tc>
        <w:tc>
          <w:tcPr>
            <w:tcW w:w="1276" w:type="dxa"/>
            <w:vAlign w:val="center"/>
          </w:tcPr>
          <w:p>
            <w:pPr>
              <w:widowControl/>
              <w:spacing w:line="280" w:lineRule="exact"/>
              <w:jc w:val="center"/>
              <w:rPr>
                <w:b/>
                <w:bCs/>
                <w:color w:val="000000"/>
                <w:kern w:val="0"/>
                <w:sz w:val="24"/>
              </w:rPr>
            </w:pPr>
            <w:r>
              <w:rPr>
                <w:b/>
                <w:bCs/>
                <w:color w:val="000000"/>
                <w:kern w:val="0"/>
                <w:sz w:val="24"/>
              </w:rPr>
              <w:t>攻关时限</w:t>
            </w:r>
          </w:p>
        </w:tc>
        <w:tc>
          <w:tcPr>
            <w:tcW w:w="1559" w:type="dxa"/>
            <w:vAlign w:val="center"/>
          </w:tcPr>
          <w:p>
            <w:pPr>
              <w:spacing w:line="400" w:lineRule="exact"/>
              <w:jc w:val="center"/>
              <w:rPr>
                <w:rFonts w:ascii="宋体" w:hAnsi="宋体"/>
                <w:b/>
                <w:sz w:val="24"/>
              </w:rPr>
            </w:pPr>
            <w:r>
              <w:rPr>
                <w:rFonts w:hint="eastAsia" w:ascii="宋体" w:hAnsi="宋体"/>
                <w:b/>
                <w:bCs/>
                <w:sz w:val="24"/>
              </w:rPr>
              <w:t>组织方式</w:t>
            </w:r>
          </w:p>
        </w:tc>
        <w:tc>
          <w:tcPr>
            <w:tcW w:w="992"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1</w:t>
            </w:r>
          </w:p>
        </w:tc>
        <w:tc>
          <w:tcPr>
            <w:tcW w:w="1559"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时尚休闲产业链</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多密度功能休闲鞋直接注射成型技术研究及产业化示范</w:t>
            </w:r>
          </w:p>
        </w:tc>
        <w:tc>
          <w:tcPr>
            <w:tcW w:w="1276" w:type="dxa"/>
            <w:vAlign w:val="center"/>
          </w:tcPr>
          <w:p>
            <w:pPr>
              <w:spacing w:line="320" w:lineRule="exact"/>
              <w:jc w:val="center"/>
              <w:rPr>
                <w:rFonts w:ascii="宋体" w:hAnsi="宋体"/>
                <w:sz w:val="24"/>
              </w:rPr>
            </w:pPr>
            <w:r>
              <w:rPr>
                <w:rFonts w:hint="eastAsia" w:ascii="宋体" w:hAnsi="宋体"/>
                <w:sz w:val="24"/>
              </w:rPr>
              <w:t>2年</w:t>
            </w:r>
          </w:p>
        </w:tc>
        <w:tc>
          <w:tcPr>
            <w:tcW w:w="1559" w:type="dxa"/>
            <w:vAlign w:val="center"/>
          </w:tcPr>
          <w:p>
            <w:pPr>
              <w:spacing w:line="320" w:lineRule="exact"/>
              <w:jc w:val="center"/>
              <w:rPr>
                <w:rFonts w:ascii="宋体" w:hAnsi="宋体"/>
                <w:color w:val="000000"/>
                <w:sz w:val="24"/>
              </w:rPr>
            </w:pPr>
            <w:r>
              <w:rPr>
                <w:color w:val="000000"/>
                <w:kern w:val="0"/>
                <w:sz w:val="24"/>
              </w:rPr>
              <w:t>竞争性分配</w:t>
            </w:r>
          </w:p>
        </w:tc>
        <w:tc>
          <w:tcPr>
            <w:tcW w:w="992" w:type="dxa"/>
            <w:vAlign w:val="center"/>
          </w:tcPr>
          <w:p>
            <w:pPr>
              <w:spacing w:line="320" w:lineRule="exact"/>
              <w:jc w:val="center"/>
              <w:rPr>
                <w:rFonts w:ascii="宋体" w:hAnsi="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2</w:t>
            </w:r>
          </w:p>
        </w:tc>
        <w:tc>
          <w:tcPr>
            <w:tcW w:w="1559" w:type="dxa"/>
            <w:vAlign w:val="center"/>
          </w:tcPr>
          <w:p>
            <w:pPr>
              <w:spacing w:line="320" w:lineRule="exact"/>
              <w:jc w:val="center"/>
              <w:rPr>
                <w:rFonts w:ascii="宋体" w:hAnsi="宋体"/>
                <w:color w:val="000000"/>
                <w:sz w:val="24"/>
              </w:rPr>
            </w:pPr>
            <w:r>
              <w:rPr>
                <w:rFonts w:ascii="宋体" w:hAnsi="宋体" w:cs="Arial"/>
                <w:color w:val="333333"/>
                <w:sz w:val="24"/>
                <w:shd w:val="clear" w:color="auto" w:fill="FFFFFF"/>
              </w:rPr>
              <w:t>智能电器产业链</w:t>
            </w:r>
          </w:p>
        </w:tc>
        <w:tc>
          <w:tcPr>
            <w:tcW w:w="3402" w:type="dxa"/>
            <w:vAlign w:val="center"/>
          </w:tcPr>
          <w:p>
            <w:pPr>
              <w:spacing w:line="320" w:lineRule="exact"/>
              <w:jc w:val="center"/>
              <w:rPr>
                <w:rFonts w:ascii="宋体" w:hAnsi="宋体"/>
                <w:color w:val="000000"/>
                <w:sz w:val="24"/>
                <w:shd w:val="clear" w:color="auto" w:fill="FFFFFF"/>
              </w:rPr>
            </w:pPr>
            <w:r>
              <w:rPr>
                <w:rFonts w:hint="eastAsia" w:ascii="宋体" w:hAnsi="宋体" w:cs="Arial"/>
                <w:color w:val="333333"/>
                <w:sz w:val="24"/>
                <w:shd w:val="clear" w:color="auto" w:fill="FFFFFF"/>
              </w:rPr>
              <w:t>直流监控系统高速采集技术与瞬时接地监测的研究</w:t>
            </w:r>
          </w:p>
        </w:tc>
        <w:tc>
          <w:tcPr>
            <w:tcW w:w="1276" w:type="dxa"/>
            <w:vAlign w:val="center"/>
          </w:tcPr>
          <w:p>
            <w:pPr>
              <w:spacing w:line="320" w:lineRule="exact"/>
              <w:jc w:val="center"/>
              <w:rPr>
                <w:rFonts w:ascii="宋体" w:hAnsi="宋体"/>
                <w:color w:val="000000"/>
                <w:sz w:val="24"/>
                <w:shd w:val="clear" w:color="auto" w:fill="FFFFFF"/>
              </w:rPr>
            </w:pPr>
            <w:r>
              <w:rPr>
                <w:rFonts w:hint="eastAsia" w:ascii="宋体" w:hAnsi="宋体"/>
                <w:color w:val="000000"/>
                <w:sz w:val="24"/>
                <w:shd w:val="clear" w:color="auto" w:fill="FFFFFF"/>
              </w:rPr>
              <w:t>2年</w:t>
            </w:r>
          </w:p>
        </w:tc>
        <w:tc>
          <w:tcPr>
            <w:tcW w:w="1559" w:type="dxa"/>
            <w:vAlign w:val="center"/>
          </w:tcPr>
          <w:p>
            <w:pPr>
              <w:spacing w:line="320" w:lineRule="exact"/>
              <w:jc w:val="center"/>
              <w:rPr>
                <w:rFonts w:ascii="宋体" w:hAnsi="宋体"/>
                <w:color w:val="000000"/>
                <w:sz w:val="24"/>
                <w:shd w:val="clear" w:color="auto" w:fill="FFFFFF"/>
              </w:rPr>
            </w:pPr>
            <w:r>
              <w:rPr>
                <w:color w:val="000000"/>
                <w:kern w:val="0"/>
                <w:sz w:val="24"/>
              </w:rPr>
              <w:t>竞争性分配</w:t>
            </w:r>
          </w:p>
        </w:tc>
        <w:tc>
          <w:tcPr>
            <w:tcW w:w="992" w:type="dxa"/>
            <w:vAlign w:val="center"/>
          </w:tcPr>
          <w:p>
            <w:pPr>
              <w:spacing w:line="320" w:lineRule="exact"/>
              <w:jc w:val="center"/>
              <w:rPr>
                <w:rFonts w:ascii="宋体" w:hAnsi="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3</w:t>
            </w:r>
          </w:p>
        </w:tc>
        <w:tc>
          <w:tcPr>
            <w:tcW w:w="1559"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元宇宙</w:t>
            </w:r>
            <w:r>
              <w:rPr>
                <w:rFonts w:ascii="宋体" w:hAnsi="宋体" w:cs="Arial"/>
                <w:color w:val="333333"/>
                <w:sz w:val="24"/>
                <w:shd w:val="clear" w:color="auto" w:fill="FFFFFF"/>
              </w:rPr>
              <w:t>产业链</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olor w:val="171A1D"/>
                <w:sz w:val="24"/>
              </w:rPr>
              <w:t>技术知识图谱驱动的不锈钢管成型生产装备智能设计及数字化应用研究</w:t>
            </w:r>
          </w:p>
        </w:tc>
        <w:tc>
          <w:tcPr>
            <w:tcW w:w="1276" w:type="dxa"/>
            <w:vAlign w:val="center"/>
          </w:tcPr>
          <w:p>
            <w:pPr>
              <w:spacing w:line="320" w:lineRule="exact"/>
              <w:jc w:val="center"/>
              <w:rPr>
                <w:rFonts w:ascii="宋体" w:hAnsi="宋体"/>
                <w:sz w:val="24"/>
              </w:rPr>
            </w:pPr>
            <w:r>
              <w:rPr>
                <w:rFonts w:hint="eastAsia" w:ascii="宋体" w:hAnsi="宋体"/>
                <w:sz w:val="24"/>
              </w:rPr>
              <w:t>2年</w:t>
            </w:r>
          </w:p>
        </w:tc>
        <w:tc>
          <w:tcPr>
            <w:tcW w:w="1559" w:type="dxa"/>
            <w:vAlign w:val="center"/>
          </w:tcPr>
          <w:p>
            <w:pPr>
              <w:spacing w:line="320" w:lineRule="exact"/>
              <w:jc w:val="center"/>
              <w:rPr>
                <w:rFonts w:ascii="宋体" w:hAnsi="宋体"/>
                <w:sz w:val="24"/>
              </w:rPr>
            </w:pPr>
            <w:r>
              <w:rPr>
                <w:color w:val="000000"/>
                <w:kern w:val="0"/>
                <w:sz w:val="24"/>
              </w:rPr>
              <w:t>竞争性分配</w:t>
            </w:r>
          </w:p>
        </w:tc>
        <w:tc>
          <w:tcPr>
            <w:tcW w:w="992" w:type="dxa"/>
            <w:vAlign w:val="center"/>
          </w:tcPr>
          <w:p>
            <w:pPr>
              <w:spacing w:line="32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4</w:t>
            </w:r>
          </w:p>
        </w:tc>
        <w:tc>
          <w:tcPr>
            <w:tcW w:w="1559" w:type="dxa"/>
            <w:vAlign w:val="center"/>
          </w:tcPr>
          <w:p>
            <w:pPr>
              <w:spacing w:line="320" w:lineRule="exact"/>
              <w:jc w:val="center"/>
              <w:rPr>
                <w:rFonts w:ascii="宋体" w:hAnsi="宋体" w:cs="Arial"/>
                <w:color w:val="333333"/>
                <w:sz w:val="24"/>
                <w:shd w:val="clear" w:color="auto" w:fill="FFFFFF"/>
              </w:rPr>
            </w:pPr>
            <w:r>
              <w:rPr>
                <w:rFonts w:ascii="宋体" w:hAnsi="宋体" w:cs="Arial"/>
                <w:color w:val="333333"/>
                <w:sz w:val="24"/>
                <w:shd w:val="clear" w:color="auto" w:fill="FFFFFF"/>
              </w:rPr>
              <w:t>全球特种钢(特种新材料)产业链</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核电用小口径不锈钢无缝钢管关键技术研发</w:t>
            </w:r>
          </w:p>
        </w:tc>
        <w:tc>
          <w:tcPr>
            <w:tcW w:w="1276" w:type="dxa"/>
            <w:vAlign w:val="center"/>
          </w:tcPr>
          <w:p>
            <w:pPr>
              <w:spacing w:line="320" w:lineRule="exact"/>
              <w:jc w:val="center"/>
              <w:rPr>
                <w:rFonts w:ascii="宋体" w:hAnsi="宋体" w:cs="宋体"/>
                <w:sz w:val="24"/>
              </w:rPr>
            </w:pPr>
            <w:r>
              <w:rPr>
                <w:rFonts w:hint="eastAsia" w:ascii="宋体" w:hAnsi="宋体" w:cs="宋体"/>
                <w:sz w:val="24"/>
              </w:rPr>
              <w:t>2年</w:t>
            </w:r>
          </w:p>
        </w:tc>
        <w:tc>
          <w:tcPr>
            <w:tcW w:w="1559" w:type="dxa"/>
            <w:vAlign w:val="center"/>
          </w:tcPr>
          <w:p>
            <w:pPr>
              <w:spacing w:line="320" w:lineRule="exact"/>
              <w:jc w:val="center"/>
              <w:rPr>
                <w:rFonts w:ascii="宋体" w:hAnsi="宋体"/>
                <w:sz w:val="24"/>
              </w:rPr>
            </w:pPr>
            <w:r>
              <w:rPr>
                <w:color w:val="000000"/>
                <w:kern w:val="0"/>
                <w:sz w:val="24"/>
              </w:rPr>
              <w:t>竞争性分配</w:t>
            </w:r>
          </w:p>
        </w:tc>
        <w:tc>
          <w:tcPr>
            <w:tcW w:w="992"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5</w:t>
            </w:r>
          </w:p>
        </w:tc>
        <w:tc>
          <w:tcPr>
            <w:tcW w:w="1559" w:type="dxa"/>
            <w:vAlign w:val="center"/>
          </w:tcPr>
          <w:p>
            <w:pPr>
              <w:spacing w:line="320" w:lineRule="exact"/>
              <w:jc w:val="center"/>
              <w:rPr>
                <w:rFonts w:ascii="宋体" w:hAnsi="宋体" w:cs="Arial"/>
                <w:color w:val="333333"/>
                <w:sz w:val="24"/>
                <w:shd w:val="clear" w:color="auto" w:fill="FFFFFF"/>
              </w:rPr>
            </w:pPr>
            <w:r>
              <w:rPr>
                <w:rFonts w:ascii="宋体" w:hAnsi="宋体" w:cs="Arial"/>
                <w:color w:val="333333"/>
                <w:sz w:val="24"/>
                <w:shd w:val="clear" w:color="auto" w:fill="FFFFFF"/>
              </w:rPr>
              <w:t>全球特种钢(特种新材料)产业链</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耐氯离子腐蚀高端双相不锈钢无缝管研究开发</w:t>
            </w:r>
          </w:p>
        </w:tc>
        <w:tc>
          <w:tcPr>
            <w:tcW w:w="1276" w:type="dxa"/>
            <w:vAlign w:val="center"/>
          </w:tcPr>
          <w:p>
            <w:pPr>
              <w:spacing w:line="320" w:lineRule="exact"/>
              <w:jc w:val="center"/>
              <w:rPr>
                <w:rFonts w:ascii="宋体" w:hAnsi="宋体"/>
                <w:sz w:val="24"/>
              </w:rPr>
            </w:pPr>
            <w:r>
              <w:rPr>
                <w:rFonts w:hint="eastAsia" w:ascii="宋体" w:hAnsi="宋体"/>
                <w:sz w:val="24"/>
              </w:rPr>
              <w:t>2年</w:t>
            </w:r>
          </w:p>
        </w:tc>
        <w:tc>
          <w:tcPr>
            <w:tcW w:w="1559" w:type="dxa"/>
            <w:vAlign w:val="center"/>
          </w:tcPr>
          <w:p>
            <w:pPr>
              <w:spacing w:line="320" w:lineRule="exact"/>
              <w:jc w:val="center"/>
              <w:rPr>
                <w:rFonts w:ascii="宋体" w:hAnsi="宋体"/>
                <w:color w:val="000000"/>
                <w:sz w:val="24"/>
              </w:rPr>
            </w:pPr>
            <w:r>
              <w:rPr>
                <w:color w:val="000000"/>
                <w:kern w:val="0"/>
                <w:sz w:val="24"/>
              </w:rPr>
              <w:t>竞争性分配</w:t>
            </w:r>
          </w:p>
        </w:tc>
        <w:tc>
          <w:tcPr>
            <w:tcW w:w="992"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6</w:t>
            </w:r>
          </w:p>
        </w:tc>
        <w:tc>
          <w:tcPr>
            <w:tcW w:w="1559" w:type="dxa"/>
            <w:vAlign w:val="center"/>
          </w:tcPr>
          <w:p>
            <w:pPr>
              <w:spacing w:line="320" w:lineRule="exact"/>
              <w:jc w:val="center"/>
              <w:rPr>
                <w:rFonts w:ascii="宋体" w:hAnsi="宋体" w:cs="Arial"/>
                <w:color w:val="333333"/>
                <w:sz w:val="24"/>
                <w:shd w:val="clear" w:color="auto" w:fill="FFFFFF"/>
              </w:rPr>
            </w:pPr>
            <w:r>
              <w:rPr>
                <w:rFonts w:ascii="宋体" w:hAnsi="宋体" w:cs="Arial"/>
                <w:color w:val="333333"/>
                <w:sz w:val="24"/>
                <w:shd w:val="clear" w:color="auto" w:fill="FFFFFF"/>
              </w:rPr>
              <w:t>全球特种钢(特种新材料)产业链</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高端双相焊接用不锈钢材料的研发</w:t>
            </w:r>
          </w:p>
        </w:tc>
        <w:tc>
          <w:tcPr>
            <w:tcW w:w="1276" w:type="dxa"/>
            <w:vAlign w:val="center"/>
          </w:tcPr>
          <w:p>
            <w:pPr>
              <w:spacing w:line="320" w:lineRule="exact"/>
              <w:jc w:val="center"/>
              <w:rPr>
                <w:rFonts w:ascii="宋体" w:hAnsi="宋体"/>
                <w:sz w:val="24"/>
              </w:rPr>
            </w:pPr>
            <w:r>
              <w:rPr>
                <w:rFonts w:hint="eastAsia" w:ascii="宋体" w:hAnsi="宋体"/>
                <w:sz w:val="24"/>
              </w:rPr>
              <w:t>2年</w:t>
            </w:r>
          </w:p>
        </w:tc>
        <w:tc>
          <w:tcPr>
            <w:tcW w:w="1559" w:type="dxa"/>
            <w:vAlign w:val="center"/>
          </w:tcPr>
          <w:p>
            <w:pPr>
              <w:spacing w:line="320" w:lineRule="exact"/>
              <w:jc w:val="center"/>
              <w:rPr>
                <w:rFonts w:ascii="宋体" w:hAnsi="宋体"/>
                <w:sz w:val="24"/>
              </w:rPr>
            </w:pPr>
            <w:r>
              <w:rPr>
                <w:color w:val="000000"/>
                <w:kern w:val="0"/>
                <w:sz w:val="24"/>
              </w:rPr>
              <w:t>竞争性分配</w:t>
            </w:r>
          </w:p>
        </w:tc>
        <w:tc>
          <w:tcPr>
            <w:tcW w:w="992"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7</w:t>
            </w:r>
          </w:p>
        </w:tc>
        <w:tc>
          <w:tcPr>
            <w:tcW w:w="1559"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绿色高效农业</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猪场母猪智能调膘饲喂系统研究</w:t>
            </w:r>
          </w:p>
        </w:tc>
        <w:tc>
          <w:tcPr>
            <w:tcW w:w="1276" w:type="dxa"/>
            <w:vAlign w:val="center"/>
          </w:tcPr>
          <w:p>
            <w:pPr>
              <w:spacing w:line="320" w:lineRule="exact"/>
              <w:jc w:val="center"/>
              <w:rPr>
                <w:rFonts w:ascii="宋体" w:hAnsi="宋体"/>
                <w:color w:val="000000"/>
                <w:sz w:val="24"/>
                <w:shd w:val="clear" w:color="auto" w:fill="FFFFFF"/>
              </w:rPr>
            </w:pPr>
            <w:r>
              <w:rPr>
                <w:rFonts w:hint="eastAsia" w:ascii="宋体" w:hAnsi="宋体"/>
                <w:color w:val="000000"/>
                <w:sz w:val="24"/>
                <w:shd w:val="clear" w:color="auto" w:fill="FFFFFF"/>
              </w:rPr>
              <w:t>2年</w:t>
            </w:r>
          </w:p>
        </w:tc>
        <w:tc>
          <w:tcPr>
            <w:tcW w:w="1559" w:type="dxa"/>
            <w:vAlign w:val="center"/>
          </w:tcPr>
          <w:p>
            <w:pPr>
              <w:spacing w:line="320" w:lineRule="exact"/>
              <w:jc w:val="center"/>
              <w:rPr>
                <w:rFonts w:ascii="宋体" w:hAnsi="宋体"/>
                <w:color w:val="000000"/>
                <w:sz w:val="24"/>
                <w:shd w:val="clear" w:color="auto" w:fill="FFFFFF"/>
              </w:rPr>
            </w:pPr>
            <w:r>
              <w:rPr>
                <w:color w:val="000000"/>
                <w:kern w:val="0"/>
                <w:sz w:val="24"/>
              </w:rPr>
              <w:t>竞争性分配</w:t>
            </w:r>
          </w:p>
        </w:tc>
        <w:tc>
          <w:tcPr>
            <w:tcW w:w="992" w:type="dxa"/>
            <w:vAlign w:val="center"/>
          </w:tcPr>
          <w:p>
            <w:pPr>
              <w:spacing w:line="320" w:lineRule="exact"/>
              <w:jc w:val="center"/>
              <w:rPr>
                <w:rFonts w:ascii="宋体" w:hAnsi="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8</w:t>
            </w:r>
          </w:p>
        </w:tc>
        <w:tc>
          <w:tcPr>
            <w:tcW w:w="1559"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绿色高效农业</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中药材优良种苗规模化繁育技术及推广应用</w:t>
            </w:r>
          </w:p>
        </w:tc>
        <w:tc>
          <w:tcPr>
            <w:tcW w:w="1276" w:type="dxa"/>
            <w:vAlign w:val="center"/>
          </w:tcPr>
          <w:p>
            <w:pPr>
              <w:spacing w:line="320" w:lineRule="exact"/>
              <w:jc w:val="center"/>
              <w:rPr>
                <w:rFonts w:ascii="宋体" w:hAnsi="宋体"/>
                <w:sz w:val="24"/>
                <w:shd w:val="clear" w:color="auto" w:fill="FFFFFF"/>
              </w:rPr>
            </w:pPr>
            <w:r>
              <w:rPr>
                <w:rFonts w:hint="eastAsia" w:ascii="宋体" w:hAnsi="宋体"/>
                <w:sz w:val="24"/>
                <w:shd w:val="clear" w:color="auto" w:fill="FFFFFF"/>
              </w:rPr>
              <w:t>2年</w:t>
            </w:r>
          </w:p>
        </w:tc>
        <w:tc>
          <w:tcPr>
            <w:tcW w:w="1559" w:type="dxa"/>
            <w:vAlign w:val="center"/>
          </w:tcPr>
          <w:p>
            <w:pPr>
              <w:spacing w:line="320" w:lineRule="exact"/>
              <w:jc w:val="center"/>
              <w:rPr>
                <w:rFonts w:ascii="宋体" w:hAnsi="宋体"/>
                <w:sz w:val="24"/>
              </w:rPr>
            </w:pPr>
            <w:r>
              <w:rPr>
                <w:color w:val="000000"/>
                <w:kern w:val="0"/>
                <w:sz w:val="24"/>
              </w:rPr>
              <w:t>竞争性分配</w:t>
            </w:r>
          </w:p>
        </w:tc>
        <w:tc>
          <w:tcPr>
            <w:tcW w:w="992" w:type="dxa"/>
            <w:vAlign w:val="center"/>
          </w:tcPr>
          <w:p>
            <w:pPr>
              <w:spacing w:line="32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9</w:t>
            </w:r>
          </w:p>
        </w:tc>
        <w:tc>
          <w:tcPr>
            <w:tcW w:w="1559"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生命健康</w:t>
            </w:r>
          </w:p>
        </w:tc>
        <w:tc>
          <w:tcPr>
            <w:tcW w:w="3402" w:type="dxa"/>
            <w:vAlign w:val="center"/>
          </w:tcPr>
          <w:p>
            <w:pPr>
              <w:spacing w:line="320" w:lineRule="exact"/>
              <w:jc w:val="center"/>
              <w:rPr>
                <w:rFonts w:ascii="宋体" w:hAnsi="宋体"/>
                <w:sz w:val="22"/>
              </w:rPr>
            </w:pPr>
            <w:r>
              <w:rPr>
                <w:rFonts w:hint="eastAsia" w:ascii="仿宋_GB2312"/>
                <w:sz w:val="24"/>
              </w:rPr>
              <w:t>短波治疗仪导入中药蛇胆苦柏洗液治疗面部脂溢性皮炎</w:t>
            </w:r>
          </w:p>
        </w:tc>
        <w:tc>
          <w:tcPr>
            <w:tcW w:w="1276" w:type="dxa"/>
            <w:vAlign w:val="center"/>
          </w:tcPr>
          <w:p>
            <w:pPr>
              <w:spacing w:line="320" w:lineRule="exact"/>
              <w:jc w:val="center"/>
              <w:rPr>
                <w:rFonts w:ascii="宋体" w:hAnsi="宋体"/>
                <w:sz w:val="24"/>
              </w:rPr>
            </w:pPr>
            <w:r>
              <w:rPr>
                <w:rFonts w:hint="eastAsia" w:ascii="宋体" w:hAnsi="宋体"/>
                <w:sz w:val="24"/>
              </w:rPr>
              <w:t>2年</w:t>
            </w:r>
          </w:p>
        </w:tc>
        <w:tc>
          <w:tcPr>
            <w:tcW w:w="1559" w:type="dxa"/>
            <w:vAlign w:val="center"/>
          </w:tcPr>
          <w:p>
            <w:pPr>
              <w:spacing w:line="320" w:lineRule="exact"/>
              <w:jc w:val="center"/>
              <w:rPr>
                <w:color w:val="000000"/>
                <w:kern w:val="0"/>
                <w:sz w:val="24"/>
              </w:rPr>
            </w:pPr>
            <w:r>
              <w:rPr>
                <w:color w:val="000000"/>
                <w:kern w:val="0"/>
                <w:sz w:val="24"/>
              </w:rPr>
              <w:t>竞争性分配</w:t>
            </w:r>
          </w:p>
        </w:tc>
        <w:tc>
          <w:tcPr>
            <w:tcW w:w="992" w:type="dxa"/>
            <w:vAlign w:val="center"/>
          </w:tcPr>
          <w:p>
            <w:pPr>
              <w:spacing w:line="32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10</w:t>
            </w:r>
          </w:p>
        </w:tc>
        <w:tc>
          <w:tcPr>
            <w:tcW w:w="1559"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生命健康</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运用男性康复治疗技术精准治疗性功能障碍</w:t>
            </w:r>
          </w:p>
        </w:tc>
        <w:tc>
          <w:tcPr>
            <w:tcW w:w="1276" w:type="dxa"/>
            <w:vAlign w:val="center"/>
          </w:tcPr>
          <w:p>
            <w:pPr>
              <w:spacing w:line="320" w:lineRule="exact"/>
              <w:jc w:val="center"/>
              <w:rPr>
                <w:rFonts w:ascii="宋体" w:hAnsi="宋体"/>
                <w:sz w:val="24"/>
              </w:rPr>
            </w:pPr>
            <w:r>
              <w:rPr>
                <w:rFonts w:hint="eastAsia" w:ascii="宋体" w:hAnsi="宋体"/>
                <w:sz w:val="24"/>
              </w:rPr>
              <w:t>2年</w:t>
            </w:r>
          </w:p>
        </w:tc>
        <w:tc>
          <w:tcPr>
            <w:tcW w:w="1559" w:type="dxa"/>
            <w:vAlign w:val="center"/>
          </w:tcPr>
          <w:p>
            <w:pPr>
              <w:spacing w:line="320" w:lineRule="exact"/>
              <w:jc w:val="center"/>
              <w:rPr>
                <w:color w:val="000000"/>
                <w:kern w:val="0"/>
                <w:sz w:val="24"/>
              </w:rPr>
            </w:pPr>
            <w:r>
              <w:rPr>
                <w:color w:val="000000"/>
                <w:kern w:val="0"/>
                <w:sz w:val="24"/>
              </w:rPr>
              <w:t>竞争性分配</w:t>
            </w:r>
          </w:p>
        </w:tc>
        <w:tc>
          <w:tcPr>
            <w:tcW w:w="992" w:type="dxa"/>
            <w:vAlign w:val="center"/>
          </w:tcPr>
          <w:p>
            <w:pPr>
              <w:spacing w:line="32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10" w:type="dxa"/>
            <w:vAlign w:val="center"/>
          </w:tcPr>
          <w:p>
            <w:pPr>
              <w:spacing w:line="320" w:lineRule="exact"/>
              <w:jc w:val="center"/>
              <w:rPr>
                <w:rFonts w:ascii="宋体" w:hAnsi="宋体"/>
                <w:color w:val="000000"/>
                <w:sz w:val="24"/>
              </w:rPr>
            </w:pPr>
            <w:r>
              <w:rPr>
                <w:rFonts w:hint="eastAsia" w:ascii="宋体" w:hAnsi="宋体"/>
                <w:color w:val="000000"/>
                <w:sz w:val="24"/>
              </w:rPr>
              <w:t>11</w:t>
            </w:r>
          </w:p>
        </w:tc>
        <w:tc>
          <w:tcPr>
            <w:tcW w:w="1559"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生命健康</w:t>
            </w:r>
          </w:p>
        </w:tc>
        <w:tc>
          <w:tcPr>
            <w:tcW w:w="3402" w:type="dxa"/>
            <w:vAlign w:val="center"/>
          </w:tcPr>
          <w:p>
            <w:pPr>
              <w:spacing w:line="320" w:lineRule="exact"/>
              <w:jc w:val="center"/>
              <w:rPr>
                <w:rFonts w:ascii="宋体" w:hAnsi="宋体" w:cs="Arial"/>
                <w:color w:val="333333"/>
                <w:sz w:val="24"/>
                <w:shd w:val="clear" w:color="auto" w:fill="FFFFFF"/>
              </w:rPr>
            </w:pPr>
            <w:r>
              <w:rPr>
                <w:rFonts w:hint="eastAsia" w:ascii="宋体" w:hAnsi="宋体" w:cs="Arial"/>
                <w:color w:val="333333"/>
                <w:sz w:val="24"/>
                <w:shd w:val="clear" w:color="auto" w:fill="FFFFFF"/>
              </w:rPr>
              <w:t>针刺结合理疗康复训练治疗脑卒中后运动障碍技术</w:t>
            </w:r>
          </w:p>
        </w:tc>
        <w:tc>
          <w:tcPr>
            <w:tcW w:w="1276" w:type="dxa"/>
            <w:vAlign w:val="center"/>
          </w:tcPr>
          <w:p>
            <w:pPr>
              <w:spacing w:line="320" w:lineRule="exact"/>
              <w:jc w:val="center"/>
              <w:rPr>
                <w:rFonts w:ascii="宋体" w:hAnsi="宋体"/>
                <w:sz w:val="24"/>
              </w:rPr>
            </w:pPr>
            <w:r>
              <w:rPr>
                <w:rFonts w:hint="eastAsia" w:ascii="宋体" w:hAnsi="宋体"/>
                <w:sz w:val="24"/>
              </w:rPr>
              <w:t>2年</w:t>
            </w:r>
          </w:p>
        </w:tc>
        <w:tc>
          <w:tcPr>
            <w:tcW w:w="1559" w:type="dxa"/>
            <w:vAlign w:val="center"/>
          </w:tcPr>
          <w:p>
            <w:pPr>
              <w:spacing w:line="320" w:lineRule="exact"/>
              <w:jc w:val="center"/>
              <w:rPr>
                <w:color w:val="000000"/>
                <w:kern w:val="0"/>
                <w:sz w:val="24"/>
              </w:rPr>
            </w:pPr>
            <w:r>
              <w:rPr>
                <w:color w:val="000000"/>
                <w:kern w:val="0"/>
                <w:sz w:val="24"/>
              </w:rPr>
              <w:t>竞争性分配</w:t>
            </w:r>
          </w:p>
        </w:tc>
        <w:tc>
          <w:tcPr>
            <w:tcW w:w="992" w:type="dxa"/>
            <w:vAlign w:val="center"/>
          </w:tcPr>
          <w:p>
            <w:pPr>
              <w:spacing w:line="320" w:lineRule="exact"/>
              <w:jc w:val="center"/>
              <w:rPr>
                <w:rFonts w:ascii="宋体" w:hAnsi="宋体"/>
                <w:b/>
                <w:sz w:val="24"/>
              </w:rPr>
            </w:pPr>
          </w:p>
        </w:tc>
      </w:tr>
    </w:tbl>
    <w:p>
      <w:pPr>
        <w:rPr>
          <w:rFonts w:ascii="宋体" w:hAnsi="宋体"/>
        </w:rPr>
      </w:pPr>
    </w:p>
    <w:p>
      <w:pPr>
        <w:overflowPunct w:val="0"/>
        <w:autoSpaceDE w:val="0"/>
        <w:autoSpaceDN w:val="0"/>
        <w:spacing w:line="580" w:lineRule="exact"/>
        <w:rPr>
          <w:rFonts w:ascii="宋体" w:hAnsi="宋体"/>
          <w:b/>
          <w:sz w:val="28"/>
          <w:szCs w:val="28"/>
        </w:rPr>
      </w:pPr>
      <w:r>
        <w:rPr>
          <w:rFonts w:hint="eastAsia" w:ascii="宋体" w:hAnsi="宋体"/>
          <w:b/>
          <w:bCs/>
          <w:color w:val="000000"/>
          <w:kern w:val="0"/>
          <w:sz w:val="28"/>
          <w:szCs w:val="28"/>
        </w:rPr>
        <w:t>一、榜单名称：多密度功能休闲鞋直接注射成型技术研究及产业化示范</w:t>
      </w:r>
    </w:p>
    <w:p>
      <w:pPr>
        <w:spacing w:line="580" w:lineRule="exact"/>
        <w:ind w:firstLine="551" w:firstLineChars="196"/>
        <w:rPr>
          <w:rFonts w:ascii="宋体" w:hAnsi="宋体"/>
          <w:color w:val="000000"/>
          <w:kern w:val="0"/>
          <w:sz w:val="28"/>
          <w:szCs w:val="28"/>
        </w:rPr>
      </w:pPr>
      <w:r>
        <w:rPr>
          <w:rFonts w:hint="eastAsia" w:ascii="宋体" w:hAnsi="宋体"/>
          <w:b/>
          <w:bCs/>
          <w:color w:val="000000"/>
          <w:kern w:val="0"/>
          <w:sz w:val="28"/>
          <w:szCs w:val="28"/>
        </w:rPr>
        <w:t>主要研究内容：</w:t>
      </w:r>
      <w:r>
        <w:rPr>
          <w:rFonts w:hint="eastAsia" w:ascii="宋体" w:hAnsi="宋体"/>
          <w:sz w:val="28"/>
          <w:szCs w:val="28"/>
        </w:rPr>
        <w:t>针对当前制鞋产业原材料、生产过程中使用的辅料、制鞋工艺等污染现状，</w:t>
      </w:r>
      <w:r>
        <w:rPr>
          <w:rFonts w:hint="eastAsia" w:ascii="宋体" w:hAnsi="宋体"/>
          <w:color w:val="000000"/>
          <w:kern w:val="0"/>
          <w:sz w:val="28"/>
          <w:szCs w:val="28"/>
        </w:rPr>
        <w:t>研究以直接注射技术完成多密度功能休闲鞋复杂外底制造，实现高效自动化多密度功能直接注射休闲鞋的产业化示范，进而打通功能创意、数字化设计和智能制造的连接障碍，提升产品环保属性。研发内容主要包括（1）多密度功能休闲鞋设计创意分析；（2）多密度功能休闲鞋数字化设计；（3）多密度功能休闲鞋外底模具开发；（4）自动化直接注射装备的调试与运行；（5）多密度功能休闲鞋测试与改进；（6）多密度功能休闲鞋量产与产业化示范。</w:t>
      </w:r>
    </w:p>
    <w:p>
      <w:pPr>
        <w:spacing w:line="580" w:lineRule="exact"/>
        <w:ind w:firstLine="562" w:firstLineChars="200"/>
        <w:rPr>
          <w:rFonts w:ascii="宋体" w:hAnsi="宋体"/>
          <w:sz w:val="28"/>
          <w:szCs w:val="28"/>
        </w:rPr>
      </w:pPr>
      <w:r>
        <w:rPr>
          <w:rFonts w:hint="eastAsia" w:ascii="宋体" w:hAnsi="宋体"/>
          <w:b/>
          <w:bCs/>
          <w:color w:val="000000"/>
          <w:kern w:val="0"/>
          <w:sz w:val="28"/>
          <w:szCs w:val="28"/>
        </w:rPr>
        <w:t>绩效目标：</w:t>
      </w:r>
      <w:r>
        <w:rPr>
          <w:rFonts w:hint="eastAsia" w:ascii="宋体" w:hAnsi="宋体"/>
          <w:sz w:val="28"/>
          <w:szCs w:val="28"/>
        </w:rPr>
        <w:t>本项目预期将实现人体穿着测试、数字化设计和智能制造技术的整合，解决智能制造技术与时尚鞋品设计匹配的问题，有效缓解当前鞋类产业技术单一、产品功能创新之后的关键问题。具体绩效目标：</w:t>
      </w:r>
      <w:r>
        <w:rPr>
          <w:rFonts w:hint="eastAsia" w:ascii="宋体" w:hAnsi="宋体"/>
          <w:color w:val="000000"/>
          <w:kern w:val="0"/>
          <w:sz w:val="28"/>
          <w:szCs w:val="28"/>
        </w:rPr>
        <w:t>1.项目目标产品</w:t>
      </w:r>
      <w:r>
        <w:rPr>
          <w:rFonts w:hint="eastAsia" w:ascii="宋体" w:hAnsi="宋体"/>
          <w:sz w:val="28"/>
          <w:szCs w:val="28"/>
        </w:rPr>
        <w:t>多密度功能休闲鞋</w:t>
      </w:r>
      <w:r>
        <w:rPr>
          <w:rFonts w:hint="eastAsia" w:ascii="宋体" w:hAnsi="宋体"/>
          <w:color w:val="000000"/>
          <w:kern w:val="0"/>
          <w:sz w:val="28"/>
          <w:szCs w:val="28"/>
        </w:rPr>
        <w:t>的性能指标：（1）静态防滑性能：≥0.2；（2）外底耐磨性能（mm）：≤14；（3）剥离强度（N/cm）：≥70；（4）游离或可部分水解的甲醛(纺织品)（mg/kg）(帮面纺织品)（mg/kg）：≤300；（5）可分解有害芳香胺染料（mg/kg）：≤30。2.项目实施预期取得专利技术4项，其中发明专利1项。3.将达到年产20万双的产能，预期实现产值1500万元，利税300万元。</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spacing w:line="580" w:lineRule="exact"/>
        <w:rPr>
          <w:rFonts w:ascii="宋体" w:hAnsi="宋体"/>
          <w:b/>
          <w:sz w:val="28"/>
          <w:szCs w:val="28"/>
        </w:rPr>
      </w:pPr>
      <w:r>
        <w:rPr>
          <w:rFonts w:hint="eastAsia" w:ascii="宋体" w:hAnsi="宋体"/>
          <w:b/>
          <w:bCs/>
          <w:color w:val="000000"/>
          <w:kern w:val="0"/>
          <w:sz w:val="28"/>
          <w:szCs w:val="28"/>
        </w:rPr>
        <w:t>二、榜单名称：直流监控系统高速采集技术与瞬时接地监测的研究</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主要研究内容：</w:t>
      </w:r>
      <w:r>
        <w:rPr>
          <w:rFonts w:hint="eastAsia" w:ascii="宋体" w:hAnsi="宋体"/>
          <w:sz w:val="28"/>
          <w:szCs w:val="28"/>
        </w:rPr>
        <w:t>1.研究直流监控系统瞬时接地监测技术，可实现直流系统中瞬时查找接地时不停电、不解线，对系统无任何影响；2.研究直流电源监控系统高速通讯技术，可实现直流系统绝缘状况进行实时监测，对发生瞬间接地故障的支路进行记录；</w:t>
      </w:r>
      <w:r>
        <w:rPr>
          <w:rFonts w:hint="eastAsia" w:ascii="宋体" w:hAnsi="宋体" w:cs="宋体"/>
          <w:sz w:val="28"/>
          <w:szCs w:val="28"/>
        </w:rPr>
        <w:t>3.</w:t>
      </w:r>
      <w:r>
        <w:rPr>
          <w:rFonts w:hint="eastAsia" w:ascii="宋体" w:hAnsi="宋体"/>
          <w:sz w:val="28"/>
          <w:szCs w:val="28"/>
        </w:rPr>
        <w:t>研究直流电源监控系统高速采集技术，</w:t>
      </w:r>
      <w:r>
        <w:rPr>
          <w:rFonts w:ascii="宋体" w:hAnsi="宋体" w:cs="宋体"/>
          <w:sz w:val="28"/>
          <w:szCs w:val="28"/>
        </w:rPr>
        <w:t>通过支路高灵敏度的CT，监测每个支路电流变化情况，监测记录1</w:t>
      </w:r>
      <w:r>
        <w:rPr>
          <w:rFonts w:hint="eastAsia" w:ascii="宋体" w:hAnsi="宋体" w:cs="宋体"/>
          <w:sz w:val="28"/>
          <w:szCs w:val="28"/>
        </w:rPr>
        <w:t>2</w:t>
      </w:r>
      <w:r>
        <w:rPr>
          <w:rFonts w:ascii="宋体" w:hAnsi="宋体" w:cs="宋体"/>
          <w:sz w:val="28"/>
          <w:szCs w:val="28"/>
        </w:rPr>
        <w:t>0毫秒以上的瞬时接地</w:t>
      </w:r>
      <w:r>
        <w:rPr>
          <w:rFonts w:hint="eastAsia" w:ascii="宋体" w:hAnsi="宋体"/>
          <w:sz w:val="28"/>
          <w:szCs w:val="28"/>
        </w:rPr>
        <w:t>的对地电压和电流波形数据，自动识别接地故障点方向位置；</w:t>
      </w:r>
      <w:r>
        <w:rPr>
          <w:rFonts w:ascii="宋体" w:hAnsi="宋体"/>
          <w:sz w:val="28"/>
          <w:szCs w:val="28"/>
        </w:rPr>
        <w:t>4</w:t>
      </w:r>
      <w:r>
        <w:rPr>
          <w:rFonts w:hint="eastAsia" w:ascii="宋体" w:hAnsi="宋体"/>
          <w:sz w:val="28"/>
          <w:szCs w:val="28"/>
        </w:rPr>
        <w:t>.研究直流电源监控软件，系统可实现正常支路与故障支路的漏电流和电压波形比对，分析瞬时接地情况，并</w:t>
      </w:r>
      <w:r>
        <w:rPr>
          <w:rFonts w:ascii="宋体" w:hAnsi="宋体" w:cs="宋体"/>
          <w:sz w:val="28"/>
          <w:szCs w:val="28"/>
        </w:rPr>
        <w:t>区分接地支路波形和不</w:t>
      </w:r>
      <w:r>
        <w:rPr>
          <w:rFonts w:hint="eastAsia" w:ascii="宋体" w:hAnsi="宋体" w:cs="宋体"/>
          <w:sz w:val="28"/>
          <w:szCs w:val="28"/>
        </w:rPr>
        <w:t>接</w:t>
      </w:r>
      <w:r>
        <w:rPr>
          <w:rFonts w:ascii="宋体" w:hAnsi="宋体" w:cs="宋体"/>
          <w:sz w:val="28"/>
          <w:szCs w:val="28"/>
        </w:rPr>
        <w:t>地支路波形</w:t>
      </w:r>
      <w:r>
        <w:rPr>
          <w:rFonts w:hint="eastAsia" w:ascii="宋体" w:hAnsi="宋体"/>
          <w:sz w:val="28"/>
          <w:szCs w:val="28"/>
        </w:rPr>
        <w:t>。</w:t>
      </w:r>
    </w:p>
    <w:p>
      <w:pPr>
        <w:spacing w:line="580" w:lineRule="exact"/>
        <w:ind w:firstLine="551" w:firstLineChars="196"/>
        <w:rPr>
          <w:rFonts w:ascii="宋体" w:hAnsi="宋体"/>
          <w:color w:val="000000"/>
          <w:kern w:val="0"/>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1.直流电源监控系统高速采集技术与瞬时接地监测的具体技术指标：(1)适用直流系统电压等级:110V，220V。(2)母线对地电压测量范围:20-280V。（3）瞬间接地监测:漏电流≥200UA，接地时间≥120MS。（4）监测回路数:不少于12路。（5）装置记录数据不少于10000条。（6）支持USB数据导出。2.申请专利2项以上（其中发明专利1项），申请软件著作权2项以上。3.进一步提升行业直流电源系统的安全性，实施期内增加销售收入1200万元。</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tabs>
          <w:tab w:val="left" w:pos="600"/>
        </w:tabs>
        <w:spacing w:line="580" w:lineRule="exact"/>
        <w:rPr>
          <w:rFonts w:ascii="宋体" w:hAnsi="宋体"/>
          <w:b/>
          <w:bCs/>
          <w:color w:val="000000"/>
          <w:kern w:val="0"/>
          <w:sz w:val="28"/>
          <w:szCs w:val="28"/>
        </w:rPr>
      </w:pPr>
      <w:r>
        <w:rPr>
          <w:rFonts w:hint="eastAsia" w:ascii="宋体" w:hAnsi="宋体"/>
          <w:b/>
          <w:sz w:val="28"/>
          <w:szCs w:val="28"/>
        </w:rPr>
        <w:t>三</w:t>
      </w:r>
      <w:r>
        <w:rPr>
          <w:rFonts w:hint="eastAsia" w:ascii="宋体" w:hAnsi="宋体"/>
          <w:b/>
          <w:bCs/>
          <w:color w:val="000000"/>
          <w:kern w:val="0"/>
          <w:sz w:val="28"/>
          <w:szCs w:val="28"/>
        </w:rPr>
        <w:t>、榜单名称：</w:t>
      </w:r>
      <w:r>
        <w:rPr>
          <w:rFonts w:hint="eastAsia" w:ascii="宋体" w:hAnsi="宋体"/>
          <w:b/>
          <w:color w:val="171A1D"/>
          <w:sz w:val="28"/>
          <w:szCs w:val="28"/>
        </w:rPr>
        <w:t>技术知识图谱驱动的不锈钢管成型生产装备智能设计及数字化应用研究</w:t>
      </w:r>
    </w:p>
    <w:p>
      <w:pPr>
        <w:tabs>
          <w:tab w:val="left" w:pos="600"/>
        </w:tabs>
        <w:spacing w:line="580" w:lineRule="exact"/>
        <w:rPr>
          <w:rFonts w:ascii="宋体" w:hAnsi="宋体"/>
          <w:b/>
          <w:bCs/>
          <w:color w:val="000000"/>
          <w:kern w:val="0"/>
          <w:sz w:val="28"/>
          <w:szCs w:val="28"/>
        </w:rPr>
      </w:pPr>
      <w:r>
        <w:rPr>
          <w:rFonts w:hint="eastAsia" w:ascii="宋体" w:hAnsi="宋体"/>
          <w:b/>
          <w:bCs/>
          <w:color w:val="000000"/>
          <w:kern w:val="0"/>
          <w:sz w:val="28"/>
          <w:szCs w:val="28"/>
        </w:rPr>
        <w:t xml:space="preserve">    主要研究内容：</w:t>
      </w:r>
      <w:r>
        <w:rPr>
          <w:rFonts w:hint="eastAsia" w:ascii="宋体" w:hAnsi="宋体"/>
          <w:color w:val="000000"/>
          <w:kern w:val="0"/>
          <w:sz w:val="28"/>
          <w:szCs w:val="28"/>
        </w:rPr>
        <w:t>1.研究提出一种融合深度学习与依存语法模型的不锈钢管成型装备设计知识及其关系抽取方法，对不锈钢管成型生产工艺流程中大量制造数据进行统一表示和组织，构建一套技术知识图谱系统，并将“问题-原因-解决方案-装备创新”这类知识经验进行快速积累和重用；2.研究构建一种基于技术知识图谱的创新设计关联导航技术，通过整合相关领域的技术知识和专家经验，剖析生产过程中工艺改进“牵一发而动全身”的关键制造装备研发，实现技术导航下创新设计知识的快速求解和解决方案的选择，以整个制造系统的角度帮助企业确定提升制造效率的最优升级路径。3.以企业对不锈钢管生产工艺约束为驱动力，研究基于技术知识图谱的专利价值挖掘、潜在侵权风险识别以及知识可视化等多类知识服务模块，并利用技术链路推理实现隐含知识侵权风险识别，推动成型制造装备优质设计知识的快速推荐和专利预警。</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1.申请专利2-3项（其中发明专利1项），发表论文1-2篇；2.提出一种融合深度学习和依存语法模型的不锈钢管自动成型制造装备设计知识及其关系抽取方法，建立技术知识图谱系统以辅助自动成型装备的设计创新；3.以技术知识图谱作为知识链路导航媒介，对相关制造装备技术专利进行预警搜索，实现企业技术知识规避效果≥10%；4.借助技术知识图谱系统完成锈钢管成型辅助制造装备的研发与产线优化创新，累计生产不锈钢管1750吨以上，实现销售额3763万元人民币以上，利税385万元，大幅度提升钢管成型效率和可靠性。</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tabs>
          <w:tab w:val="left" w:pos="600"/>
        </w:tabs>
        <w:spacing w:line="580" w:lineRule="exact"/>
        <w:rPr>
          <w:rFonts w:ascii="宋体" w:hAnsi="宋体"/>
          <w:b/>
          <w:sz w:val="28"/>
          <w:szCs w:val="28"/>
        </w:rPr>
      </w:pPr>
      <w:r>
        <w:rPr>
          <w:rFonts w:hint="eastAsia" w:ascii="宋体" w:hAnsi="宋体"/>
          <w:b/>
          <w:sz w:val="28"/>
          <w:szCs w:val="28"/>
        </w:rPr>
        <w:t>四</w:t>
      </w:r>
      <w:r>
        <w:rPr>
          <w:rFonts w:hint="eastAsia" w:ascii="宋体" w:hAnsi="宋体"/>
          <w:b/>
          <w:bCs/>
          <w:color w:val="000000"/>
          <w:kern w:val="0"/>
          <w:sz w:val="28"/>
          <w:szCs w:val="28"/>
        </w:rPr>
        <w:t>、榜单名称：核电用小口径不锈钢无缝钢管关键技术研发</w:t>
      </w:r>
    </w:p>
    <w:p>
      <w:pPr>
        <w:spacing w:line="580" w:lineRule="exact"/>
        <w:ind w:firstLine="551" w:firstLineChars="196"/>
        <w:rPr>
          <w:rFonts w:ascii="宋体" w:hAnsi="宋体"/>
          <w:color w:val="000000"/>
          <w:kern w:val="0"/>
          <w:sz w:val="28"/>
          <w:szCs w:val="28"/>
        </w:rPr>
      </w:pPr>
      <w:r>
        <w:rPr>
          <w:rFonts w:hint="eastAsia" w:ascii="宋体" w:hAnsi="宋体"/>
          <w:b/>
          <w:bCs/>
          <w:color w:val="000000"/>
          <w:kern w:val="0"/>
          <w:sz w:val="28"/>
          <w:szCs w:val="28"/>
        </w:rPr>
        <w:t>主要研究内容：</w:t>
      </w:r>
      <w:r>
        <w:rPr>
          <w:rFonts w:hint="eastAsia" w:ascii="宋体" w:hAnsi="宋体"/>
          <w:color w:val="000000"/>
          <w:kern w:val="0"/>
          <w:sz w:val="28"/>
          <w:szCs w:val="28"/>
        </w:rPr>
        <w:t>针对我国核电用小口径不锈钢无缝钢管需求，通过开展冶炼、穿孔、轧制、热处理等技术攻关，开发φ19-φ25mm、φ32-38mm等系列核电用小口径不锈钢无缝管，形成稳定的生产工艺，并建立示范生产线，具体研发内容：（1）高纯净不锈钢原料精炼技术；（2）小口径无缝钢管热穿孔技术；（3）小口径无缝钢管冷轧（拔）技术；（4）小口径无缝钢管热处理技术。</w:t>
      </w:r>
    </w:p>
    <w:p>
      <w:pPr>
        <w:spacing w:line="580" w:lineRule="exact"/>
        <w:ind w:firstLine="551" w:firstLineChars="196"/>
        <w:rPr>
          <w:rFonts w:ascii="宋体" w:hAnsi="宋体" w:cs="宋体"/>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开发出核电用小口径不锈钢无缝管材，产品质量达到国内领先水平，助力我国新一代核电站建设和运行安全可控。1.技术指标：外径（D）公差：±0.4mm，壁厚（S）公差：±10%Smm，内外表面不允许有裂纹、折叠、结疤、轧折和离层；室温力学性能：抗拉强度≥520MPa，屈服强度≥210MPa，断后伸长率≥45%；350℃力学性能：抗拉强度≥394MPa，屈服强度≥125MPa。2.经济指标：新增LG30冷轧管机、LG60冷轧管机等设备，建设年产1000吨小口径无缝钢管生产线，项目实施期间新增销售收入3000万元。3.知识产权：申请发明专利2项。</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numPr>
          <w:ilvl w:val="0"/>
          <w:numId w:val="1"/>
        </w:numPr>
        <w:tabs>
          <w:tab w:val="left" w:pos="600"/>
        </w:tabs>
        <w:spacing w:line="580" w:lineRule="exact"/>
        <w:rPr>
          <w:rFonts w:ascii="宋体" w:hAnsi="宋体"/>
          <w:b/>
          <w:sz w:val="28"/>
          <w:szCs w:val="28"/>
        </w:rPr>
      </w:pPr>
      <w:r>
        <w:rPr>
          <w:rFonts w:hint="eastAsia" w:ascii="宋体" w:hAnsi="宋体"/>
          <w:b/>
          <w:bCs/>
          <w:color w:val="000000"/>
          <w:kern w:val="0"/>
          <w:sz w:val="28"/>
          <w:szCs w:val="28"/>
        </w:rPr>
        <w:t>榜单名称：耐氯离子腐蚀高端双相不锈钢无缝管研究开发</w:t>
      </w:r>
    </w:p>
    <w:p>
      <w:pPr>
        <w:spacing w:line="580" w:lineRule="exact"/>
        <w:ind w:firstLine="551" w:firstLineChars="196"/>
        <w:rPr>
          <w:rFonts w:ascii="宋体" w:hAnsi="宋体" w:cs="楷体"/>
          <w:color w:val="333333"/>
          <w:sz w:val="28"/>
          <w:szCs w:val="28"/>
          <w:shd w:val="clear" w:color="auto" w:fill="FFFFFF"/>
        </w:rPr>
      </w:pPr>
      <w:r>
        <w:rPr>
          <w:rFonts w:hint="eastAsia" w:ascii="宋体" w:hAnsi="宋体"/>
          <w:b/>
          <w:bCs/>
          <w:color w:val="000000"/>
          <w:kern w:val="0"/>
          <w:sz w:val="28"/>
          <w:szCs w:val="28"/>
        </w:rPr>
        <w:t>主要研究内容：</w:t>
      </w:r>
      <w:r>
        <w:rPr>
          <w:rFonts w:hint="eastAsia" w:ascii="宋体" w:hAnsi="宋体"/>
          <w:bCs/>
          <w:color w:val="000000"/>
          <w:kern w:val="0"/>
          <w:sz w:val="28"/>
          <w:szCs w:val="28"/>
        </w:rPr>
        <w:t>1.</w:t>
      </w:r>
      <w:r>
        <w:rPr>
          <w:rFonts w:hint="eastAsia" w:ascii="宋体" w:hAnsi="宋体" w:cs="楷体"/>
          <w:color w:val="333333"/>
          <w:sz w:val="28"/>
          <w:szCs w:val="28"/>
          <w:shd w:val="clear" w:color="auto" w:fill="FFFFFF"/>
        </w:rPr>
        <w:t>耐氯离子腐蚀高端双相不锈钢化学成分精准控制技术；2.耐氯离子腐蚀高端双相不锈钢两相比例控制技术；3.耐氯离子腐蚀高端双相不锈钢热穿孔工艺控制技术；4.耐氯离子腐蚀高端双相不锈钢无缝管冷轧工艺技术；5.耐氯离子腐蚀高端双相不锈钢无缝管冷拔工艺技术；6.耐氯离子腐蚀高端双相不锈钢无缝管酸洗工艺技术；7.耐氯离子腐蚀高端双相不锈钢无缝管热处理工艺技术</w:t>
      </w:r>
    </w:p>
    <w:p>
      <w:pPr>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1.耐氯离子腐蚀高端双相不锈钢无缝管技术指标：（1）65%沸腾硝酸5周期平均腐蚀速率≦2.0μm/48h；（2）耐氯离子腐蚀高端双相不锈钢抗拉强度σb≥795Mpa，屈服强度σb≥550Mpa。2.知识产权：申报专利5项，其中发明专利1项。3.进口替代：项目产品将可为我国电力行业超超临界锅炉、远洋船舶、LNG运输船、海上石油开采平台、石油炼化装备国产化率提供国产耐氯离子腐蚀高端双相不锈钢保障。</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spacing w:line="580" w:lineRule="exact"/>
        <w:rPr>
          <w:rFonts w:ascii="宋体" w:hAnsi="宋体"/>
          <w:b/>
          <w:bCs/>
          <w:color w:val="000000"/>
          <w:kern w:val="0"/>
          <w:sz w:val="28"/>
          <w:szCs w:val="28"/>
        </w:rPr>
      </w:pPr>
      <w:r>
        <w:rPr>
          <w:rFonts w:hint="eastAsia" w:ascii="宋体" w:hAnsi="宋体"/>
          <w:b/>
          <w:sz w:val="28"/>
          <w:szCs w:val="28"/>
        </w:rPr>
        <w:t>六</w:t>
      </w:r>
      <w:r>
        <w:rPr>
          <w:rFonts w:hint="eastAsia" w:ascii="宋体" w:hAnsi="宋体"/>
          <w:b/>
          <w:bCs/>
          <w:color w:val="000000"/>
          <w:kern w:val="0"/>
          <w:sz w:val="28"/>
          <w:szCs w:val="28"/>
        </w:rPr>
        <w:t>、榜单名称：高端双相焊接用不锈钢材料的研发</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主要研究内容：</w:t>
      </w:r>
      <w:r>
        <w:rPr>
          <w:rFonts w:hint="eastAsia" w:ascii="宋体" w:hAnsi="宋体"/>
          <w:color w:val="000000"/>
          <w:kern w:val="0"/>
          <w:sz w:val="28"/>
          <w:szCs w:val="28"/>
        </w:rPr>
        <w:t>1.化学成分对高端双相焊接用不锈钢性能影响；2.高端双相焊接用不锈钢常压下超低C、S冶炼工艺研究；3.高端双相焊接用不锈钢轧制工艺研究；4.热处理工艺对高端双相焊接用不锈钢性能影响。</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技术指标：1.成功开发出ER2209等高端双相焊接用不锈钢产品；2.开发出有高纯净度高端双相焊接用不锈钢，产品氧含量≤50ppm，各类夹杂物等级均≤2.0级；3.开发出良好冷加工性能的高端双相焊接用不锈钢盘条，其抗拉强度≤980Mpa，延伸率≥25％；4.申请一项高端双相焊接用不锈钢产品相关发明专利。预期经济指标：项目实施期间，高端双相焊接用不锈钢销售量达到500吨，销售额达到1800万元以上</w:t>
      </w:r>
      <w:r>
        <w:rPr>
          <w:rFonts w:hint="eastAsia" w:ascii="宋体" w:hAnsi="宋体" w:cs="宋体"/>
          <w:sz w:val="28"/>
          <w:szCs w:val="28"/>
        </w:rPr>
        <w:t>。</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tabs>
          <w:tab w:val="left" w:pos="600"/>
        </w:tabs>
        <w:spacing w:line="580" w:lineRule="exact"/>
        <w:rPr>
          <w:rFonts w:ascii="宋体" w:hAnsi="宋体"/>
          <w:b/>
          <w:sz w:val="28"/>
          <w:szCs w:val="28"/>
        </w:rPr>
      </w:pPr>
      <w:r>
        <w:rPr>
          <w:rFonts w:hint="eastAsia" w:ascii="宋体" w:hAnsi="宋体"/>
          <w:b/>
          <w:sz w:val="28"/>
          <w:szCs w:val="28"/>
        </w:rPr>
        <w:t>七</w:t>
      </w:r>
      <w:r>
        <w:rPr>
          <w:rFonts w:hint="eastAsia" w:ascii="宋体" w:hAnsi="宋体"/>
          <w:b/>
          <w:bCs/>
          <w:color w:val="000000"/>
          <w:kern w:val="0"/>
          <w:sz w:val="28"/>
          <w:szCs w:val="28"/>
        </w:rPr>
        <w:t>、榜单名称：猪场母猪智能调膘饲喂系统研究</w:t>
      </w:r>
    </w:p>
    <w:p>
      <w:pPr>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主要研究内容：</w:t>
      </w:r>
      <w:r>
        <w:rPr>
          <w:rFonts w:hint="eastAsia" w:ascii="宋体" w:hAnsi="宋体"/>
          <w:color w:val="000000"/>
          <w:kern w:val="0"/>
          <w:sz w:val="28"/>
          <w:szCs w:val="28"/>
        </w:rPr>
        <w:t>当前数字化养猪内容主要包括环境监测与控制、生产数据分析、智能喂养等方面。其中母猪智能调膘饲喂系统是数字化养猪设备的一个关键研发方向。本项目研究通过采用传感器、信息处理、人工智能等先进技术手段来解决实际问题，实现母猪生长阶段的个体化管理。</w:t>
      </w:r>
    </w:p>
    <w:p>
      <w:pPr>
        <w:spacing w:line="580" w:lineRule="exact"/>
        <w:ind w:firstLine="562" w:firstLineChars="200"/>
        <w:rPr>
          <w:rFonts w:ascii="宋体" w:hAnsi="宋体"/>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研发母猪智能调膘饲喂系统1套，通过AI估重与背膘测定仪准确高效计算母猪背膘厚度，依据所得数据精细化控制母猪饲料用量，以提高生产效率。具体指标：1.可以避免过量喂养和浪费，降低饲料成本3%；2.背膘厚度在13-17mm范围内的母猪数量占比80%以上；3.AI估重及母猪背膘厚度测量准确度在98%以上。</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spacing w:line="580" w:lineRule="exact"/>
        <w:rPr>
          <w:rFonts w:ascii="宋体" w:hAnsi="宋体"/>
          <w:b/>
          <w:bCs/>
          <w:color w:val="000000"/>
          <w:kern w:val="0"/>
          <w:sz w:val="28"/>
          <w:szCs w:val="28"/>
        </w:rPr>
      </w:pPr>
      <w:r>
        <w:rPr>
          <w:rFonts w:hint="eastAsia" w:ascii="宋体" w:hAnsi="宋体"/>
          <w:b/>
          <w:sz w:val="28"/>
          <w:szCs w:val="28"/>
        </w:rPr>
        <w:t>八</w:t>
      </w:r>
      <w:r>
        <w:rPr>
          <w:rFonts w:hint="eastAsia" w:ascii="宋体" w:hAnsi="宋体"/>
          <w:b/>
          <w:bCs/>
          <w:color w:val="000000"/>
          <w:kern w:val="0"/>
          <w:sz w:val="28"/>
          <w:szCs w:val="28"/>
        </w:rPr>
        <w:t>、榜单名称：药材优良种苗规模化繁育技术及推广应用</w:t>
      </w:r>
    </w:p>
    <w:p>
      <w:pPr>
        <w:spacing w:line="580" w:lineRule="exact"/>
        <w:ind w:firstLine="562" w:firstLineChars="200"/>
        <w:rPr>
          <w:rFonts w:ascii="宋体" w:hAnsi="宋体"/>
          <w:sz w:val="28"/>
          <w:szCs w:val="28"/>
        </w:rPr>
      </w:pPr>
      <w:r>
        <w:rPr>
          <w:rFonts w:hint="eastAsia" w:ascii="宋体" w:hAnsi="宋体"/>
          <w:b/>
          <w:bCs/>
          <w:color w:val="000000"/>
          <w:kern w:val="0"/>
          <w:sz w:val="28"/>
          <w:szCs w:val="28"/>
        </w:rPr>
        <w:t>主要研究内容：</w:t>
      </w:r>
      <w:r>
        <w:rPr>
          <w:rFonts w:hint="eastAsia" w:ascii="宋体" w:hAnsi="宋体"/>
          <w:color w:val="000000"/>
          <w:kern w:val="0"/>
          <w:sz w:val="28"/>
          <w:szCs w:val="28"/>
        </w:rPr>
        <w:t>1.以青田县优势中药材药食赏多用型百合新品种为对象，进行多点试验，研究该新品种的特异性、一致性和稳定性，以GB/T 19557.10-2018的国家标准进行新品种DUS测试，完成试验报告；2.研究完善药食赏多用型百合新品种高效繁殖技术体系，建设规模化、标准化育苗繁殖基地，配套完善繁育基地及设施；3.建立以“借种包收”模式为基础的推广机制，建立以稳定农户收益为前提的推广模式，大力促进优良种苗的推广应用，保障加工基地的原料供应。</w:t>
      </w:r>
    </w:p>
    <w:p>
      <w:pPr>
        <w:spacing w:line="580" w:lineRule="exact"/>
        <w:ind w:firstLine="562" w:firstLineChars="200"/>
        <w:rPr>
          <w:rFonts w:ascii="宋体" w:hAnsi="宋体"/>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1.选育优良新品系2-3个；2.研发百合种苗高效率、规模化繁育技术1项；3.建设中药材种苗规模化繁育基地1个，年产种苗1000万株。</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由企业牵头申报，</w:t>
      </w:r>
      <w:r>
        <w:rPr>
          <w:rFonts w:hint="eastAsia" w:ascii="宋体" w:hAnsi="宋体" w:cs="宋体"/>
          <w:kern w:val="0"/>
          <w:sz w:val="28"/>
          <w:szCs w:val="28"/>
        </w:rPr>
        <w:t>优先支持</w:t>
      </w:r>
      <w:r>
        <w:rPr>
          <w:rFonts w:hint="eastAsia" w:ascii="宋体" w:hAnsi="宋体"/>
          <w:color w:val="000000"/>
          <w:kern w:val="0"/>
          <w:sz w:val="28"/>
          <w:szCs w:val="28"/>
        </w:rPr>
        <w:t>产学研合作</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spacing w:line="580" w:lineRule="exact"/>
        <w:rPr>
          <w:rFonts w:ascii="宋体" w:hAnsi="宋体"/>
          <w:b/>
          <w:bCs/>
          <w:color w:val="000000"/>
          <w:kern w:val="0"/>
          <w:sz w:val="28"/>
          <w:szCs w:val="28"/>
        </w:rPr>
      </w:pPr>
      <w:r>
        <w:rPr>
          <w:rFonts w:hint="eastAsia" w:ascii="宋体" w:hAnsi="宋体"/>
          <w:b/>
          <w:sz w:val="28"/>
          <w:szCs w:val="28"/>
        </w:rPr>
        <w:t>九</w:t>
      </w:r>
      <w:r>
        <w:rPr>
          <w:rFonts w:hint="eastAsia" w:ascii="宋体" w:hAnsi="宋体"/>
          <w:b/>
          <w:bCs/>
          <w:color w:val="000000"/>
          <w:kern w:val="0"/>
          <w:sz w:val="28"/>
          <w:szCs w:val="28"/>
        </w:rPr>
        <w:t>、榜单名称：短波治疗仪导入中药蛇胆苦柏洗液治疗面部脂溢性皮炎</w:t>
      </w:r>
    </w:p>
    <w:p>
      <w:pPr>
        <w:spacing w:line="580" w:lineRule="exact"/>
        <w:ind w:firstLine="551" w:firstLineChars="196"/>
        <w:rPr>
          <w:rFonts w:ascii="宋体" w:hAnsi="宋体"/>
          <w:color w:val="000000"/>
          <w:kern w:val="0"/>
          <w:sz w:val="28"/>
          <w:szCs w:val="28"/>
        </w:rPr>
      </w:pPr>
      <w:r>
        <w:rPr>
          <w:rFonts w:hint="eastAsia" w:ascii="宋体" w:hAnsi="宋体"/>
          <w:b/>
          <w:bCs/>
          <w:color w:val="000000"/>
          <w:kern w:val="0"/>
          <w:sz w:val="28"/>
          <w:szCs w:val="28"/>
        </w:rPr>
        <w:t>主要研究内容：</w:t>
      </w:r>
      <w:r>
        <w:rPr>
          <w:rFonts w:hint="eastAsia" w:ascii="宋体" w:hAnsi="宋体"/>
          <w:color w:val="000000"/>
          <w:kern w:val="0"/>
          <w:sz w:val="28"/>
          <w:szCs w:val="28"/>
        </w:rPr>
        <w:t>1.引进相关设备与系统，构建</w:t>
      </w:r>
      <w:r>
        <w:rPr>
          <w:rFonts w:hint="eastAsia" w:ascii="宋体" w:hAnsi="宋体"/>
          <w:bCs/>
          <w:color w:val="000000"/>
          <w:kern w:val="0"/>
          <w:sz w:val="28"/>
          <w:szCs w:val="28"/>
        </w:rPr>
        <w:t>短波治疗仪导入中药蛇胆苦柏洗液治疗面部脂溢性皮炎</w:t>
      </w:r>
      <w:r>
        <w:rPr>
          <w:rFonts w:hint="eastAsia" w:ascii="宋体" w:hAnsi="宋体"/>
          <w:color w:val="000000"/>
          <w:kern w:val="0"/>
          <w:sz w:val="28"/>
          <w:szCs w:val="28"/>
        </w:rPr>
        <w:t>的诊疗体系；2.开展提高中药蛇胆苦参洗液导入患者面部皮肤的有效率的研究；3.制定优化</w:t>
      </w:r>
      <w:r>
        <w:rPr>
          <w:rFonts w:hint="eastAsia" w:ascii="宋体" w:hAnsi="宋体"/>
          <w:bCs/>
          <w:color w:val="000000"/>
          <w:kern w:val="0"/>
          <w:sz w:val="28"/>
          <w:szCs w:val="28"/>
        </w:rPr>
        <w:t>短波治疗仪导入中药蛇胆苦柏洗液治疗面部脂溢性皮炎的</w:t>
      </w:r>
      <w:r>
        <w:rPr>
          <w:rFonts w:hint="eastAsia" w:ascii="宋体" w:hAnsi="宋体"/>
          <w:color w:val="000000"/>
          <w:kern w:val="0"/>
          <w:sz w:val="28"/>
          <w:szCs w:val="28"/>
        </w:rPr>
        <w:t>治疗方案。</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1.建立</w:t>
      </w:r>
      <w:r>
        <w:rPr>
          <w:rFonts w:hint="eastAsia" w:ascii="宋体" w:hAnsi="宋体"/>
          <w:bCs/>
          <w:color w:val="000000"/>
          <w:kern w:val="0"/>
          <w:sz w:val="28"/>
          <w:szCs w:val="28"/>
        </w:rPr>
        <w:t>短波治疗仪导入中药蛇胆苦柏洗液治疗面部脂溢性皮炎</w:t>
      </w:r>
      <w:r>
        <w:rPr>
          <w:rFonts w:hint="eastAsia" w:ascii="宋体" w:hAnsi="宋体"/>
          <w:color w:val="000000"/>
          <w:kern w:val="0"/>
          <w:sz w:val="28"/>
          <w:szCs w:val="28"/>
        </w:rPr>
        <w:t>的诊疗体系并投入运行；2.收集80例面部脂溢性皮炎患者，将患者随机分为治疗组、短波治疗仪导入组，每组各40人，对比分析2组患者治疗前后数据并形成疗效分析报告；3.撰写相关论文1篇并发表；4.进行县内推广，开展专题讲课1次。</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由县级医院牵头申报</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spacing w:line="580" w:lineRule="exact"/>
        <w:rPr>
          <w:rFonts w:ascii="宋体" w:hAnsi="宋体"/>
          <w:b/>
          <w:bCs/>
          <w:color w:val="000000"/>
          <w:kern w:val="0"/>
          <w:sz w:val="28"/>
          <w:szCs w:val="28"/>
        </w:rPr>
      </w:pPr>
      <w:r>
        <w:rPr>
          <w:rFonts w:hint="eastAsia" w:ascii="宋体" w:hAnsi="宋体"/>
          <w:b/>
          <w:bCs/>
          <w:color w:val="000000"/>
          <w:kern w:val="0"/>
          <w:sz w:val="28"/>
          <w:szCs w:val="28"/>
        </w:rPr>
        <w:t>十、榜单名称：运用男性康复治疗技术精准治疗性功能障碍</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主要研究内容：</w:t>
      </w:r>
      <w:r>
        <w:rPr>
          <w:rFonts w:hint="eastAsia" w:ascii="宋体" w:hAnsi="宋体"/>
          <w:color w:val="000000"/>
          <w:kern w:val="0"/>
          <w:sz w:val="28"/>
          <w:szCs w:val="28"/>
        </w:rPr>
        <w:t>1.引进相关设备，构建男性性功能诊疗系统；2.评估男科康复治疗技术精准治疗性功能障碍的区域，研究针对人群的最佳治疗参数；3.优化并制定相关技术操作标准。</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1.建立</w:t>
      </w:r>
      <w:r>
        <w:rPr>
          <w:rFonts w:hint="eastAsia" w:ascii="宋体" w:hAnsi="宋体"/>
          <w:bCs/>
          <w:color w:val="000000"/>
          <w:kern w:val="0"/>
          <w:sz w:val="28"/>
          <w:szCs w:val="28"/>
        </w:rPr>
        <w:t>运用康复治疗技术精准治疗</w:t>
      </w:r>
      <w:r>
        <w:rPr>
          <w:rFonts w:hint="eastAsia" w:ascii="宋体" w:hAnsi="宋体"/>
          <w:color w:val="000000"/>
          <w:kern w:val="0"/>
          <w:sz w:val="28"/>
          <w:szCs w:val="28"/>
        </w:rPr>
        <w:t>男性性功能</w:t>
      </w:r>
      <w:r>
        <w:rPr>
          <w:rFonts w:hint="eastAsia" w:ascii="宋体" w:hAnsi="宋体"/>
          <w:bCs/>
          <w:color w:val="000000"/>
          <w:kern w:val="0"/>
          <w:sz w:val="28"/>
          <w:szCs w:val="28"/>
        </w:rPr>
        <w:t>障碍的</w:t>
      </w:r>
      <w:r>
        <w:rPr>
          <w:rFonts w:hint="eastAsia" w:ascii="宋体" w:hAnsi="宋体"/>
          <w:color w:val="000000"/>
          <w:kern w:val="0"/>
          <w:sz w:val="28"/>
          <w:szCs w:val="28"/>
        </w:rPr>
        <w:t>诊疗系统并投入运行；2. 收集阳痿(30例)、早泄（30例）、前列腺疾病(50例)患者数据,随机分组对照治疗，进行试验组、对照组的分析治疗，获取最佳治疗参数；3.制定相关技术操作标准并提供疗效分析报告；4.在市级继教班上推广疾病相关技术操作标准和方案，进一步改善我县男性性功能障碍患者预后情况。</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由县级医院牵头申报</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spacing w:line="580" w:lineRule="exact"/>
        <w:rPr>
          <w:rFonts w:ascii="宋体" w:hAnsi="宋体"/>
          <w:b/>
          <w:bCs/>
          <w:color w:val="000000"/>
          <w:kern w:val="0"/>
          <w:sz w:val="28"/>
          <w:szCs w:val="28"/>
        </w:rPr>
      </w:pPr>
      <w:r>
        <w:rPr>
          <w:rFonts w:hint="eastAsia" w:ascii="宋体" w:hAnsi="宋体"/>
          <w:b/>
          <w:bCs/>
          <w:color w:val="000000"/>
          <w:kern w:val="0"/>
          <w:sz w:val="28"/>
          <w:szCs w:val="28"/>
        </w:rPr>
        <w:t>十一、榜单名称：针刺结合理疗康复训练治疗脑卒中后运动障碍技术</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主要研究内容：</w:t>
      </w:r>
      <w:r>
        <w:rPr>
          <w:rFonts w:hint="eastAsia" w:ascii="宋体" w:hAnsi="宋体"/>
          <w:color w:val="000000"/>
          <w:kern w:val="0"/>
          <w:sz w:val="28"/>
          <w:szCs w:val="28"/>
        </w:rPr>
        <w:t>1.引进相关设备，构建</w:t>
      </w:r>
      <w:r>
        <w:rPr>
          <w:rFonts w:hint="eastAsia" w:ascii="宋体" w:hAnsi="宋体"/>
          <w:bCs/>
          <w:color w:val="000000"/>
          <w:kern w:val="0"/>
          <w:sz w:val="28"/>
          <w:szCs w:val="28"/>
        </w:rPr>
        <w:t>针刺结合理疗康复训练治疗脑卒中后运动障碍</w:t>
      </w:r>
      <w:r>
        <w:rPr>
          <w:rFonts w:hint="eastAsia" w:ascii="宋体" w:hAnsi="宋体"/>
          <w:color w:val="000000"/>
          <w:kern w:val="0"/>
          <w:sz w:val="28"/>
          <w:szCs w:val="28"/>
        </w:rPr>
        <w:t>的硬件系统；2.在缺乏循证学证据的背景下，研究将针刺与现代康复手段相结合，通过不同治疗方法的数据分析，探究更加精准有效地改善脑卒中后上肢运动功能的恢复的技术方法；3.优化并制定相关技术操作标准。</w:t>
      </w:r>
    </w:p>
    <w:p>
      <w:pPr>
        <w:spacing w:line="580" w:lineRule="exact"/>
        <w:ind w:firstLine="551" w:firstLineChars="196"/>
        <w:rPr>
          <w:rFonts w:ascii="宋体" w:hAnsi="宋体"/>
          <w:sz w:val="28"/>
          <w:szCs w:val="28"/>
        </w:rPr>
      </w:pPr>
      <w:r>
        <w:rPr>
          <w:rFonts w:hint="eastAsia" w:ascii="宋体" w:hAnsi="宋体"/>
          <w:b/>
          <w:bCs/>
          <w:color w:val="000000"/>
          <w:kern w:val="0"/>
          <w:sz w:val="28"/>
          <w:szCs w:val="28"/>
        </w:rPr>
        <w:t>绩效目标：</w:t>
      </w:r>
      <w:r>
        <w:rPr>
          <w:rFonts w:hint="eastAsia" w:ascii="宋体" w:hAnsi="宋体"/>
          <w:color w:val="000000"/>
          <w:kern w:val="0"/>
          <w:sz w:val="28"/>
          <w:szCs w:val="28"/>
        </w:rPr>
        <w:t>1.建立</w:t>
      </w:r>
      <w:r>
        <w:rPr>
          <w:rFonts w:hint="eastAsia" w:ascii="宋体" w:hAnsi="宋体"/>
          <w:bCs/>
          <w:color w:val="000000"/>
          <w:kern w:val="0"/>
          <w:sz w:val="28"/>
          <w:szCs w:val="28"/>
        </w:rPr>
        <w:t>针刺结合理疗康复训练治疗脑卒中后运动障碍</w:t>
      </w:r>
      <w:r>
        <w:rPr>
          <w:rFonts w:hint="eastAsia" w:ascii="宋体" w:hAnsi="宋体"/>
          <w:color w:val="000000"/>
          <w:kern w:val="0"/>
          <w:sz w:val="28"/>
          <w:szCs w:val="28"/>
        </w:rPr>
        <w:t>的硬件系统并投入运行；2.收集90例脑卒中后上肢运动障碍患者，将患者随机分为3组，每组各30人，分别进行针刺结合经颅磁刺激、针刺结合上肢机器人训练、针刺结合物理治疗；通过治疗前后数据分析，评估疗效；3.制定脑卒中后上肢运动功能障碍的规范化治疗流程，其中包括患者的筛选、评估、治疗，指标的记录、分析以及患者后期的随访等；4.选择最优方案进行县内的推广，开展专题讲课2次。</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申报主体：</w:t>
      </w:r>
      <w:r>
        <w:rPr>
          <w:rFonts w:hint="eastAsia" w:ascii="宋体" w:hAnsi="宋体"/>
          <w:color w:val="000000"/>
          <w:kern w:val="0"/>
          <w:sz w:val="28"/>
          <w:szCs w:val="28"/>
        </w:rPr>
        <w:t>由县级医院牵头申报</w:t>
      </w:r>
    </w:p>
    <w:p>
      <w:pPr>
        <w:overflowPunct w:val="0"/>
        <w:autoSpaceDE w:val="0"/>
        <w:autoSpaceDN w:val="0"/>
        <w:spacing w:line="580" w:lineRule="exact"/>
        <w:ind w:firstLine="562" w:firstLineChars="200"/>
        <w:rPr>
          <w:rFonts w:ascii="宋体" w:hAnsi="宋体"/>
          <w:b/>
          <w:bCs/>
          <w:color w:val="000000"/>
          <w:kern w:val="0"/>
          <w:sz w:val="28"/>
          <w:szCs w:val="28"/>
        </w:rPr>
      </w:pPr>
      <w:r>
        <w:rPr>
          <w:rFonts w:hint="eastAsia" w:ascii="宋体" w:hAnsi="宋体"/>
          <w:b/>
          <w:bCs/>
          <w:color w:val="000000"/>
          <w:kern w:val="0"/>
          <w:sz w:val="28"/>
          <w:szCs w:val="28"/>
        </w:rPr>
        <w:t>组织方式：</w:t>
      </w:r>
      <w:r>
        <w:rPr>
          <w:rFonts w:hint="eastAsia" w:ascii="宋体" w:hAnsi="宋体"/>
          <w:bCs/>
          <w:color w:val="000000"/>
          <w:kern w:val="0"/>
          <w:sz w:val="28"/>
          <w:szCs w:val="28"/>
        </w:rPr>
        <w:t>竞争性分配</w:t>
      </w:r>
    </w:p>
    <w:p>
      <w:pPr>
        <w:overflowPunct w:val="0"/>
        <w:autoSpaceDE w:val="0"/>
        <w:autoSpaceDN w:val="0"/>
        <w:spacing w:line="580" w:lineRule="exact"/>
        <w:ind w:firstLine="562" w:firstLineChars="200"/>
        <w:rPr>
          <w:rFonts w:ascii="宋体" w:hAnsi="宋体"/>
          <w:color w:val="000000"/>
          <w:kern w:val="0"/>
          <w:sz w:val="28"/>
          <w:szCs w:val="28"/>
        </w:rPr>
      </w:pPr>
      <w:r>
        <w:rPr>
          <w:rFonts w:hint="eastAsia" w:ascii="宋体" w:hAnsi="宋体"/>
          <w:b/>
          <w:bCs/>
          <w:color w:val="000000"/>
          <w:kern w:val="0"/>
          <w:sz w:val="28"/>
          <w:szCs w:val="28"/>
        </w:rPr>
        <w:t>攻关时限要求：</w:t>
      </w:r>
      <w:r>
        <w:rPr>
          <w:rFonts w:hint="eastAsia" w:ascii="宋体" w:hAnsi="宋体"/>
          <w:color w:val="000000"/>
          <w:kern w:val="0"/>
          <w:sz w:val="28"/>
          <w:szCs w:val="28"/>
        </w:rPr>
        <w:t>2年内</w:t>
      </w:r>
    </w:p>
    <w:p>
      <w:pPr>
        <w:spacing w:line="580" w:lineRule="exact"/>
        <w:ind w:firstLine="560" w:firstLineChars="200"/>
        <w:rPr>
          <w:rFonts w:ascii="宋体" w:hAnsi="宋体"/>
          <w:sz w:val="28"/>
          <w:szCs w:val="28"/>
        </w:rPr>
      </w:pPr>
    </w:p>
    <w:p>
      <w:pPr>
        <w:rPr>
          <w:rFonts w:asciiTheme="majorEastAsia" w:hAnsiTheme="majorEastAsia" w:eastAsia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å¾®è½¯é›…é»‘">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541FA"/>
    <w:multiLevelType w:val="multilevel"/>
    <w:tmpl w:val="2DF541FA"/>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60"/>
    <w:rsid w:val="00017213"/>
    <w:rsid w:val="00057078"/>
    <w:rsid w:val="000B3BDE"/>
    <w:rsid w:val="000C0B67"/>
    <w:rsid w:val="000D1344"/>
    <w:rsid w:val="000F6DF7"/>
    <w:rsid w:val="00103188"/>
    <w:rsid w:val="001347C7"/>
    <w:rsid w:val="001B6402"/>
    <w:rsid w:val="001F7732"/>
    <w:rsid w:val="002527E0"/>
    <w:rsid w:val="00412765"/>
    <w:rsid w:val="004A13F0"/>
    <w:rsid w:val="004C3851"/>
    <w:rsid w:val="004E3AC2"/>
    <w:rsid w:val="005A3814"/>
    <w:rsid w:val="005D0160"/>
    <w:rsid w:val="00612D4F"/>
    <w:rsid w:val="007C548F"/>
    <w:rsid w:val="007D22D7"/>
    <w:rsid w:val="00810F64"/>
    <w:rsid w:val="00921184"/>
    <w:rsid w:val="00992A74"/>
    <w:rsid w:val="009A0F43"/>
    <w:rsid w:val="009A2E21"/>
    <w:rsid w:val="009B34F2"/>
    <w:rsid w:val="00A20682"/>
    <w:rsid w:val="00AA487A"/>
    <w:rsid w:val="00AE0DE0"/>
    <w:rsid w:val="00AE6094"/>
    <w:rsid w:val="00B635CA"/>
    <w:rsid w:val="00C16903"/>
    <w:rsid w:val="00C40534"/>
    <w:rsid w:val="00C72AAC"/>
    <w:rsid w:val="00CC3A81"/>
    <w:rsid w:val="00D46FB9"/>
    <w:rsid w:val="00D9604A"/>
    <w:rsid w:val="00DE2DA4"/>
    <w:rsid w:val="00E122A5"/>
    <w:rsid w:val="00E25186"/>
    <w:rsid w:val="00E478EE"/>
    <w:rsid w:val="00E571D6"/>
    <w:rsid w:val="00E61C2C"/>
    <w:rsid w:val="00EC4126"/>
    <w:rsid w:val="00ED027A"/>
    <w:rsid w:val="38EA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794BB-0554-41A7-BDD5-1C8A521DD90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994</Words>
  <Characters>5669</Characters>
  <Lines>47</Lines>
  <Paragraphs>13</Paragraphs>
  <TotalTime>155</TotalTime>
  <ScaleCrop>false</ScaleCrop>
  <LinksUpToDate>false</LinksUpToDate>
  <CharactersWithSpaces>6650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2022-08-08T07:59:00Z</dcterms:created>
  <dc:creator>微软用户</dc:creator>
  <cp:lastModifiedBy>wwwgggs@qq.com</cp:lastModifiedBy>
  <cp:lastPrinted>2022-08-09T02:07:00Z</cp:lastPrinted>
  <dcterms:modified xsi:type="dcterms:W3CDTF">2023-08-07T07:16:51Z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